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07EF" w14:textId="4544AA50" w:rsidR="004F0C55" w:rsidRPr="00A81300" w:rsidRDefault="00A81300" w:rsidP="004F0C55">
      <w:pPr>
        <w:jc w:val="center"/>
        <w:rPr>
          <w:rFonts w:ascii="Calibri" w:hAnsi="Calibri" w:cs="Calibri"/>
          <w:b/>
          <w:bCs/>
          <w:sz w:val="32"/>
          <w:szCs w:val="32"/>
          <w:lang w:val="en-US"/>
        </w:rPr>
      </w:pPr>
      <w:r w:rsidRPr="00A81300">
        <w:rPr>
          <w:rFonts w:ascii="Calibri" w:hAnsi="Calibri" w:cs="Calibri"/>
          <w:b/>
          <w:bCs/>
          <w:sz w:val="32"/>
          <w:szCs w:val="32"/>
          <w:lang w:val="en-US"/>
        </w:rPr>
        <w:t xml:space="preserve">Redox-sensitive </w:t>
      </w:r>
      <w:r w:rsidR="004F0C55" w:rsidRPr="00A81300">
        <w:rPr>
          <w:rFonts w:ascii="Calibri" w:hAnsi="Calibri" w:cs="Calibri"/>
          <w:b/>
          <w:bCs/>
          <w:sz w:val="32"/>
          <w:szCs w:val="32"/>
          <w:lang w:val="en-US"/>
        </w:rPr>
        <w:t>Regulation of the K</w:t>
      </w:r>
      <w:r w:rsidR="004F0C55" w:rsidRPr="00A81300">
        <w:rPr>
          <w:rFonts w:ascii="Calibri" w:hAnsi="Calibri" w:cs="Calibri"/>
          <w:b/>
          <w:bCs/>
          <w:sz w:val="32"/>
          <w:szCs w:val="32"/>
          <w:vertAlign w:val="superscript"/>
          <w:lang w:val="en-US"/>
        </w:rPr>
        <w:t>+</w:t>
      </w:r>
      <w:r w:rsidR="004F0C55" w:rsidRPr="00A81300">
        <w:rPr>
          <w:rFonts w:ascii="Calibri" w:hAnsi="Calibri" w:cs="Calibri"/>
          <w:b/>
          <w:bCs/>
          <w:sz w:val="32"/>
          <w:szCs w:val="32"/>
          <w:lang w:val="en-US"/>
        </w:rPr>
        <w:t xml:space="preserve"> efflux system KefC by Glutathione and NADH</w:t>
      </w:r>
    </w:p>
    <w:p w14:paraId="6E30327E" w14:textId="40BB5670" w:rsidR="00FA417A" w:rsidRPr="002745F7" w:rsidRDefault="004F0C55" w:rsidP="00FA417A">
      <w:pPr>
        <w:spacing w:after="240"/>
        <w:jc w:val="center"/>
        <w:rPr>
          <w:rFonts w:asciiTheme="minorHAnsi" w:hAnsiTheme="minorHAnsi"/>
          <w:noProof/>
          <w:lang w:val="en-GB"/>
        </w:rPr>
      </w:pPr>
      <w:r>
        <w:rPr>
          <w:rFonts w:asciiTheme="minorHAnsi" w:hAnsiTheme="minorHAnsi"/>
          <w:noProof/>
          <w:u w:val="single"/>
          <w:lang w:val="en-GB"/>
        </w:rPr>
        <w:t>Jakob M. Silberberg</w:t>
      </w:r>
      <w:r w:rsidR="00FA417A" w:rsidRPr="002745F7">
        <w:rPr>
          <w:rFonts w:asciiTheme="minorHAnsi" w:hAnsiTheme="minorHAnsi"/>
          <w:noProof/>
          <w:lang w:val="en-GB"/>
        </w:rPr>
        <w:t xml:space="preserve">, </w:t>
      </w:r>
      <w:r>
        <w:rPr>
          <w:rFonts w:asciiTheme="minorHAnsi" w:hAnsiTheme="minorHAnsi"/>
          <w:noProof/>
          <w:lang w:val="en-GB"/>
        </w:rPr>
        <w:t>Ashutosh Gulati</w:t>
      </w:r>
      <w:r w:rsidR="00FA417A" w:rsidRPr="002745F7">
        <w:rPr>
          <w:rFonts w:asciiTheme="minorHAnsi" w:hAnsiTheme="minorHAnsi"/>
          <w:noProof/>
          <w:lang w:val="en-GB"/>
        </w:rPr>
        <w:t xml:space="preserve">, </w:t>
      </w:r>
      <w:r>
        <w:rPr>
          <w:rFonts w:asciiTheme="minorHAnsi" w:hAnsiTheme="minorHAnsi"/>
          <w:noProof/>
          <w:lang w:val="en-GB"/>
        </w:rPr>
        <w:t>Surabhi Kokane,</w:t>
      </w:r>
      <w:r w:rsidR="00FA417A" w:rsidRPr="002745F7">
        <w:rPr>
          <w:rFonts w:asciiTheme="minorHAnsi" w:hAnsiTheme="minorHAnsi"/>
          <w:noProof/>
          <w:lang w:val="en-GB"/>
        </w:rPr>
        <w:t xml:space="preserve"> and </w:t>
      </w:r>
      <w:r>
        <w:rPr>
          <w:rFonts w:asciiTheme="minorHAnsi" w:hAnsiTheme="minorHAnsi"/>
          <w:noProof/>
          <w:lang w:val="en-GB"/>
        </w:rPr>
        <w:t>David Drew</w:t>
      </w:r>
      <w:r w:rsidR="00FA417A" w:rsidRPr="002745F7">
        <w:rPr>
          <w:rFonts w:asciiTheme="minorHAnsi" w:hAnsiTheme="minorHAnsi"/>
          <w:noProof/>
          <w:lang w:val="en-GB"/>
        </w:rPr>
        <w:t xml:space="preserve"> </w:t>
      </w:r>
    </w:p>
    <w:p w14:paraId="4A0E07C8" w14:textId="046B61AF" w:rsidR="00FA417A" w:rsidRPr="002745F7" w:rsidRDefault="004F0C55" w:rsidP="00A26F83">
      <w:pPr>
        <w:spacing w:after="720"/>
        <w:jc w:val="center"/>
        <w:rPr>
          <w:rFonts w:asciiTheme="minorHAnsi" w:hAnsiTheme="minorHAnsi"/>
          <w:noProof/>
          <w:sz w:val="20"/>
          <w:szCs w:val="20"/>
          <w:lang w:val="en-GB"/>
        </w:rPr>
      </w:pPr>
      <w:r>
        <w:rPr>
          <w:rFonts w:asciiTheme="minorHAnsi" w:hAnsiTheme="minorHAnsi"/>
          <w:noProof/>
          <w:sz w:val="20"/>
          <w:szCs w:val="20"/>
          <w:lang w:val="en-GB"/>
        </w:rPr>
        <w:t>Department of Biochemistry and Biophysics, SciLifeLab, Stockholm University, Stockholm, Sweden</w:t>
      </w:r>
    </w:p>
    <w:p w14:paraId="585A1450" w14:textId="0425B239" w:rsidR="00527A55" w:rsidRDefault="00527A55" w:rsidP="00660153">
      <w:pPr>
        <w:spacing w:after="120"/>
        <w:jc w:val="both"/>
        <w:rPr>
          <w:rFonts w:asciiTheme="minorHAnsi" w:hAnsiTheme="minorHAnsi"/>
          <w:lang w:val="en-GB"/>
        </w:rPr>
      </w:pPr>
      <w:r>
        <w:rPr>
          <w:rFonts w:asciiTheme="minorHAnsi" w:hAnsiTheme="minorHAnsi"/>
          <w:lang w:val="en-GB"/>
        </w:rPr>
        <w:t>Electrophilic stress, often resulting from oxidative stress, is a highly dangerous situation that bacteria have to be able to overcome for survival. The primary response to this is mediated by glutathione (GSH), the primary reducing agent in the bacterial cytosol, which is covalently linked to electrophilic compounds to form glutathione adducts (GSX). In addition to this immediate detoxification, bacteria undergo separate adjustments of their physiology to protect from damage resulting from electrophilic stress. An important mechanism to achieve this is the acidification of the cytosol by the GSH-regulated K</w:t>
      </w:r>
      <w:r>
        <w:rPr>
          <w:rFonts w:asciiTheme="minorHAnsi" w:hAnsiTheme="minorHAnsi"/>
          <w:vertAlign w:val="superscript"/>
          <w:lang w:val="en-GB"/>
        </w:rPr>
        <w:t>+</w:t>
      </w:r>
      <w:r>
        <w:rPr>
          <w:rFonts w:asciiTheme="minorHAnsi" w:hAnsiTheme="minorHAnsi"/>
          <w:lang w:val="en-GB"/>
        </w:rPr>
        <w:t>/H</w:t>
      </w:r>
      <w:r>
        <w:rPr>
          <w:rFonts w:asciiTheme="minorHAnsi" w:hAnsiTheme="minorHAnsi"/>
          <w:vertAlign w:val="superscript"/>
          <w:lang w:val="en-GB"/>
        </w:rPr>
        <w:t>+</w:t>
      </w:r>
      <w:r>
        <w:rPr>
          <w:rFonts w:asciiTheme="minorHAnsi" w:hAnsiTheme="minorHAnsi"/>
          <w:lang w:val="en-GB"/>
        </w:rPr>
        <w:t xml:space="preserve"> exchanger KefC.</w:t>
      </w:r>
    </w:p>
    <w:p w14:paraId="72BA13C0" w14:textId="47344273" w:rsidR="00527A55" w:rsidRDefault="00527A55" w:rsidP="00660153">
      <w:pPr>
        <w:spacing w:after="120"/>
        <w:jc w:val="both"/>
        <w:rPr>
          <w:rFonts w:asciiTheme="minorHAnsi" w:hAnsiTheme="minorHAnsi"/>
          <w:lang w:val="en-GB"/>
        </w:rPr>
      </w:pPr>
      <w:r>
        <w:rPr>
          <w:rFonts w:asciiTheme="minorHAnsi" w:hAnsiTheme="minorHAnsi"/>
          <w:lang w:val="en-GB"/>
        </w:rPr>
        <w:t xml:space="preserve">KefC is a membrane protein belonging to the </w:t>
      </w:r>
      <w:proofErr w:type="spellStart"/>
      <w:proofErr w:type="gramStart"/>
      <w:r>
        <w:rPr>
          <w:rFonts w:asciiTheme="minorHAnsi" w:hAnsiTheme="minorHAnsi"/>
          <w:lang w:val="en-GB"/>
        </w:rPr>
        <w:t>Cation:Proton</w:t>
      </w:r>
      <w:proofErr w:type="spellEnd"/>
      <w:proofErr w:type="gramEnd"/>
      <w:r>
        <w:rPr>
          <w:rFonts w:asciiTheme="minorHAnsi" w:hAnsiTheme="minorHAnsi"/>
          <w:lang w:val="en-GB"/>
        </w:rPr>
        <w:t xml:space="preserve"> Antiporter 2 (CPA2) family that performs an electroneutral 1:1 exchange of protons for K</w:t>
      </w:r>
      <w:r>
        <w:rPr>
          <w:rFonts w:asciiTheme="minorHAnsi" w:hAnsiTheme="minorHAnsi"/>
          <w:vertAlign w:val="superscript"/>
          <w:lang w:val="en-GB"/>
        </w:rPr>
        <w:t>+</w:t>
      </w:r>
      <w:r>
        <w:rPr>
          <w:rFonts w:asciiTheme="minorHAnsi" w:hAnsiTheme="minorHAnsi"/>
          <w:lang w:val="en-GB"/>
        </w:rPr>
        <w:t>. In addition to its conserved transporter fold, KefC features a C-terminal cytosolic Regulator of K</w:t>
      </w:r>
      <w:r>
        <w:rPr>
          <w:rFonts w:asciiTheme="minorHAnsi" w:hAnsiTheme="minorHAnsi"/>
          <w:vertAlign w:val="superscript"/>
          <w:lang w:val="en-GB"/>
        </w:rPr>
        <w:t>+</w:t>
      </w:r>
      <w:r>
        <w:rPr>
          <w:rFonts w:asciiTheme="minorHAnsi" w:hAnsiTheme="minorHAnsi"/>
          <w:lang w:val="en-GB"/>
        </w:rPr>
        <w:t xml:space="preserve"> Conductance (RCK) domain homologous to regulatory domains often found in K</w:t>
      </w:r>
      <w:r>
        <w:rPr>
          <w:rFonts w:asciiTheme="minorHAnsi" w:hAnsiTheme="minorHAnsi"/>
          <w:vertAlign w:val="superscript"/>
          <w:lang w:val="en-GB"/>
        </w:rPr>
        <w:t>+</w:t>
      </w:r>
      <w:r>
        <w:rPr>
          <w:rFonts w:asciiTheme="minorHAnsi" w:hAnsiTheme="minorHAnsi"/>
          <w:lang w:val="en-GB"/>
        </w:rPr>
        <w:t xml:space="preserve"> channels. While these domains commonly bind nucleotides or Ca</w:t>
      </w:r>
      <w:r>
        <w:rPr>
          <w:rFonts w:asciiTheme="minorHAnsi" w:hAnsiTheme="minorHAnsi"/>
          <w:vertAlign w:val="superscript"/>
          <w:lang w:val="en-GB"/>
        </w:rPr>
        <w:t>2+</w:t>
      </w:r>
      <w:r>
        <w:rPr>
          <w:rFonts w:asciiTheme="minorHAnsi" w:hAnsiTheme="minorHAnsi"/>
          <w:lang w:val="en-GB"/>
        </w:rPr>
        <w:t xml:space="preserve"> to regulate flux through channels, transport by KefC is regulated by the binding of GSH (inhibition) or GSX (activation) to its RCK domains. Thus, cytosolic acidification by KefC is directly linked to the </w:t>
      </w:r>
      <w:proofErr w:type="gramStart"/>
      <w:r>
        <w:rPr>
          <w:rFonts w:asciiTheme="minorHAnsi" w:hAnsiTheme="minorHAnsi"/>
          <w:lang w:val="en-GB"/>
        </w:rPr>
        <w:t>amount</w:t>
      </w:r>
      <w:proofErr w:type="gramEnd"/>
      <w:r>
        <w:rPr>
          <w:rFonts w:asciiTheme="minorHAnsi" w:hAnsiTheme="minorHAnsi"/>
          <w:lang w:val="en-GB"/>
        </w:rPr>
        <w:t xml:space="preserve"> of electrophilic compounds conjugated to GSH. Additionally, KefC activation is supported by the ancillary protein KefF, an oxidoreductase that forms a complex with the RCK domains of KefC. Despite a rough understanding of </w:t>
      </w:r>
      <w:proofErr w:type="spellStart"/>
      <w:r>
        <w:rPr>
          <w:rFonts w:asciiTheme="minorHAnsi" w:hAnsiTheme="minorHAnsi"/>
          <w:lang w:val="en-GB"/>
        </w:rPr>
        <w:t>KefC’s</w:t>
      </w:r>
      <w:proofErr w:type="spellEnd"/>
      <w:r>
        <w:rPr>
          <w:rFonts w:asciiTheme="minorHAnsi" w:hAnsiTheme="minorHAnsi"/>
          <w:lang w:val="en-GB"/>
        </w:rPr>
        <w:t xml:space="preserve"> physiological role, the molecular details of its activation by glutathione adducts and KefF remain poorly understood.</w:t>
      </w:r>
    </w:p>
    <w:p w14:paraId="0B56D810" w14:textId="5C2EC655" w:rsidR="00E9741A" w:rsidRPr="002745F7" w:rsidRDefault="00527A55" w:rsidP="00660153">
      <w:pPr>
        <w:spacing w:after="120"/>
        <w:jc w:val="both"/>
        <w:rPr>
          <w:rFonts w:asciiTheme="minorHAnsi" w:hAnsiTheme="minorHAnsi"/>
          <w:lang w:val="en-GB"/>
        </w:rPr>
      </w:pPr>
      <w:r>
        <w:rPr>
          <w:rFonts w:asciiTheme="minorHAnsi" w:hAnsiTheme="minorHAnsi"/>
          <w:lang w:val="en-GB"/>
        </w:rPr>
        <w:t xml:space="preserve">Here, we present structural and biochemical data illuminating how KefC is regulated by GSH, GSX, and KefF. Using cryo-EM, we show the inactivated conformation of KefC with GSH bound to the RCK domains, highlighting the RCK-transmembrane domain (TMD) interactions that lock the transporter in the inward-facing state. Using an ACMA-based liposome transport assay and </w:t>
      </w:r>
      <w:proofErr w:type="spellStart"/>
      <w:r>
        <w:rPr>
          <w:rFonts w:asciiTheme="minorHAnsi" w:hAnsiTheme="minorHAnsi"/>
          <w:lang w:val="en-GB"/>
        </w:rPr>
        <w:t>fSEC</w:t>
      </w:r>
      <w:proofErr w:type="spellEnd"/>
      <w:r>
        <w:rPr>
          <w:rFonts w:asciiTheme="minorHAnsi" w:hAnsiTheme="minorHAnsi"/>
          <w:lang w:val="en-GB"/>
        </w:rPr>
        <w:t xml:space="preserve"> analysis, we illuminate the determinants of activation by GSX and KefF, which requires the complete dissociation of the RCK domains from the TM domain. Finally, we present </w:t>
      </w:r>
      <w:r w:rsidR="00A86F8D">
        <w:rPr>
          <w:rFonts w:asciiTheme="minorHAnsi" w:hAnsiTheme="minorHAnsi"/>
          <w:lang w:val="en-GB"/>
        </w:rPr>
        <w:t>a</w:t>
      </w:r>
      <w:r>
        <w:rPr>
          <w:rFonts w:asciiTheme="minorHAnsi" w:hAnsiTheme="minorHAnsi"/>
          <w:lang w:val="en-GB"/>
        </w:rPr>
        <w:t xml:space="preserve"> cryo-EM </w:t>
      </w:r>
      <w:r w:rsidR="00A86F8D">
        <w:rPr>
          <w:rFonts w:asciiTheme="minorHAnsi" w:hAnsiTheme="minorHAnsi"/>
          <w:lang w:val="en-GB"/>
        </w:rPr>
        <w:t>structure</w:t>
      </w:r>
      <w:r>
        <w:rPr>
          <w:rFonts w:asciiTheme="minorHAnsi" w:hAnsiTheme="minorHAnsi"/>
          <w:lang w:val="en-GB"/>
        </w:rPr>
        <w:t xml:space="preserve"> </w:t>
      </w:r>
      <w:r w:rsidR="00A86F8D">
        <w:rPr>
          <w:rFonts w:asciiTheme="minorHAnsi" w:hAnsiTheme="minorHAnsi"/>
          <w:lang w:val="en-GB"/>
        </w:rPr>
        <w:t>of</w:t>
      </w:r>
      <w:r>
        <w:rPr>
          <w:rFonts w:asciiTheme="minorHAnsi" w:hAnsiTheme="minorHAnsi"/>
          <w:lang w:val="en-GB"/>
        </w:rPr>
        <w:t xml:space="preserve"> the activated KefC</w:t>
      </w:r>
      <w:r w:rsidR="00A86F8D">
        <w:rPr>
          <w:rFonts w:asciiTheme="minorHAnsi" w:hAnsiTheme="minorHAnsi"/>
          <w:lang w:val="en-GB"/>
        </w:rPr>
        <w:t>-Kef</w:t>
      </w:r>
      <w:r>
        <w:rPr>
          <w:rFonts w:asciiTheme="minorHAnsi" w:hAnsiTheme="minorHAnsi"/>
          <w:lang w:val="en-GB"/>
        </w:rPr>
        <w:t>F complex, and investigate the role of KefF in KefC regulation. This work is a significant step towards understanding the physiological role and regulation of the Kef system, an important element in the bacterial persistence machinery.</w:t>
      </w:r>
    </w:p>
    <w:sectPr w:rsidR="00E9741A" w:rsidRPr="002745F7" w:rsidSect="00D15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7A"/>
    <w:rsid w:val="00013A20"/>
    <w:rsid w:val="00025ACB"/>
    <w:rsid w:val="00025EA1"/>
    <w:rsid w:val="00055A6C"/>
    <w:rsid w:val="00063E0C"/>
    <w:rsid w:val="00063E6B"/>
    <w:rsid w:val="00073E2F"/>
    <w:rsid w:val="000E62BC"/>
    <w:rsid w:val="00130F2B"/>
    <w:rsid w:val="001446D2"/>
    <w:rsid w:val="00144C54"/>
    <w:rsid w:val="00164A50"/>
    <w:rsid w:val="00167C09"/>
    <w:rsid w:val="00170682"/>
    <w:rsid w:val="0017344F"/>
    <w:rsid w:val="001930F1"/>
    <w:rsid w:val="001A2DF6"/>
    <w:rsid w:val="001C6EB1"/>
    <w:rsid w:val="001D1813"/>
    <w:rsid w:val="001D2987"/>
    <w:rsid w:val="001E1A39"/>
    <w:rsid w:val="001E4CA1"/>
    <w:rsid w:val="001E5AD5"/>
    <w:rsid w:val="00220E6D"/>
    <w:rsid w:val="00221D2A"/>
    <w:rsid w:val="00234807"/>
    <w:rsid w:val="00240BBE"/>
    <w:rsid w:val="00246D9B"/>
    <w:rsid w:val="00247207"/>
    <w:rsid w:val="002518FF"/>
    <w:rsid w:val="002676F7"/>
    <w:rsid w:val="002745F7"/>
    <w:rsid w:val="00285B0D"/>
    <w:rsid w:val="002932AC"/>
    <w:rsid w:val="002B149C"/>
    <w:rsid w:val="002B398E"/>
    <w:rsid w:val="002B3FE0"/>
    <w:rsid w:val="002D62CB"/>
    <w:rsid w:val="002E2EFF"/>
    <w:rsid w:val="002E4DF0"/>
    <w:rsid w:val="00303B20"/>
    <w:rsid w:val="00312415"/>
    <w:rsid w:val="003578C3"/>
    <w:rsid w:val="003833EF"/>
    <w:rsid w:val="00391351"/>
    <w:rsid w:val="003977B1"/>
    <w:rsid w:val="003C6C62"/>
    <w:rsid w:val="00424F6E"/>
    <w:rsid w:val="00446F3A"/>
    <w:rsid w:val="00455D43"/>
    <w:rsid w:val="00487A65"/>
    <w:rsid w:val="004A4913"/>
    <w:rsid w:val="004D61E2"/>
    <w:rsid w:val="004E24F6"/>
    <w:rsid w:val="004F0C55"/>
    <w:rsid w:val="0052156D"/>
    <w:rsid w:val="00527A55"/>
    <w:rsid w:val="00533888"/>
    <w:rsid w:val="0055702D"/>
    <w:rsid w:val="00573951"/>
    <w:rsid w:val="0057511D"/>
    <w:rsid w:val="00582434"/>
    <w:rsid w:val="00582BD4"/>
    <w:rsid w:val="00586CF3"/>
    <w:rsid w:val="005945FC"/>
    <w:rsid w:val="005A2015"/>
    <w:rsid w:val="005B45B8"/>
    <w:rsid w:val="005B4B8A"/>
    <w:rsid w:val="005B539D"/>
    <w:rsid w:val="005C28AD"/>
    <w:rsid w:val="005C492F"/>
    <w:rsid w:val="005C5ACA"/>
    <w:rsid w:val="005D7CCB"/>
    <w:rsid w:val="005F2649"/>
    <w:rsid w:val="00600382"/>
    <w:rsid w:val="00601FE7"/>
    <w:rsid w:val="00610C03"/>
    <w:rsid w:val="00612C22"/>
    <w:rsid w:val="00631CC7"/>
    <w:rsid w:val="006369BA"/>
    <w:rsid w:val="00651219"/>
    <w:rsid w:val="00656E8F"/>
    <w:rsid w:val="00660153"/>
    <w:rsid w:val="00673E5B"/>
    <w:rsid w:val="00680A60"/>
    <w:rsid w:val="0069777C"/>
    <w:rsid w:val="006A671F"/>
    <w:rsid w:val="006A735C"/>
    <w:rsid w:val="006B01CF"/>
    <w:rsid w:val="006B3BB4"/>
    <w:rsid w:val="006C0676"/>
    <w:rsid w:val="006F0749"/>
    <w:rsid w:val="006F570E"/>
    <w:rsid w:val="006F6367"/>
    <w:rsid w:val="00722F2B"/>
    <w:rsid w:val="0073198A"/>
    <w:rsid w:val="00740C09"/>
    <w:rsid w:val="0074399F"/>
    <w:rsid w:val="00751DFD"/>
    <w:rsid w:val="00774199"/>
    <w:rsid w:val="00775E3C"/>
    <w:rsid w:val="007C13C1"/>
    <w:rsid w:val="007C3BD8"/>
    <w:rsid w:val="007C529E"/>
    <w:rsid w:val="007E66BA"/>
    <w:rsid w:val="007F156B"/>
    <w:rsid w:val="00835E37"/>
    <w:rsid w:val="00846528"/>
    <w:rsid w:val="008A0307"/>
    <w:rsid w:val="008C0052"/>
    <w:rsid w:val="008E37CD"/>
    <w:rsid w:val="008F04EE"/>
    <w:rsid w:val="008F6A39"/>
    <w:rsid w:val="009004DC"/>
    <w:rsid w:val="00903F69"/>
    <w:rsid w:val="009213FD"/>
    <w:rsid w:val="009276DB"/>
    <w:rsid w:val="0093143F"/>
    <w:rsid w:val="009318A4"/>
    <w:rsid w:val="00943056"/>
    <w:rsid w:val="00957BC7"/>
    <w:rsid w:val="009A1A9A"/>
    <w:rsid w:val="009C5B12"/>
    <w:rsid w:val="009C759F"/>
    <w:rsid w:val="009E6D54"/>
    <w:rsid w:val="00A26F83"/>
    <w:rsid w:val="00A328F8"/>
    <w:rsid w:val="00A45AF8"/>
    <w:rsid w:val="00A779F3"/>
    <w:rsid w:val="00A81300"/>
    <w:rsid w:val="00A86F8D"/>
    <w:rsid w:val="00AA1C5D"/>
    <w:rsid w:val="00AD2BFC"/>
    <w:rsid w:val="00B1385A"/>
    <w:rsid w:val="00B16A7B"/>
    <w:rsid w:val="00B31ADD"/>
    <w:rsid w:val="00B32031"/>
    <w:rsid w:val="00B63051"/>
    <w:rsid w:val="00B66567"/>
    <w:rsid w:val="00B75FD5"/>
    <w:rsid w:val="00B9249D"/>
    <w:rsid w:val="00B92592"/>
    <w:rsid w:val="00B97AA0"/>
    <w:rsid w:val="00B97DB7"/>
    <w:rsid w:val="00BD138E"/>
    <w:rsid w:val="00BD609A"/>
    <w:rsid w:val="00BE47D3"/>
    <w:rsid w:val="00C20919"/>
    <w:rsid w:val="00C25F4C"/>
    <w:rsid w:val="00C3114E"/>
    <w:rsid w:val="00C34632"/>
    <w:rsid w:val="00C722D2"/>
    <w:rsid w:val="00C958F8"/>
    <w:rsid w:val="00CC3963"/>
    <w:rsid w:val="00D158B0"/>
    <w:rsid w:val="00D34958"/>
    <w:rsid w:val="00D4724F"/>
    <w:rsid w:val="00D4777F"/>
    <w:rsid w:val="00D50797"/>
    <w:rsid w:val="00D51B09"/>
    <w:rsid w:val="00D60138"/>
    <w:rsid w:val="00D90402"/>
    <w:rsid w:val="00D90DC8"/>
    <w:rsid w:val="00D917B4"/>
    <w:rsid w:val="00DB30EF"/>
    <w:rsid w:val="00DC56C5"/>
    <w:rsid w:val="00DD0BEA"/>
    <w:rsid w:val="00DF59BE"/>
    <w:rsid w:val="00E00574"/>
    <w:rsid w:val="00E01FF7"/>
    <w:rsid w:val="00E16CF6"/>
    <w:rsid w:val="00E26211"/>
    <w:rsid w:val="00E2697C"/>
    <w:rsid w:val="00E30F03"/>
    <w:rsid w:val="00E34B43"/>
    <w:rsid w:val="00E350B5"/>
    <w:rsid w:val="00E45974"/>
    <w:rsid w:val="00E96126"/>
    <w:rsid w:val="00E9741A"/>
    <w:rsid w:val="00EA3F76"/>
    <w:rsid w:val="00EA749C"/>
    <w:rsid w:val="00ED1B22"/>
    <w:rsid w:val="00EF2643"/>
    <w:rsid w:val="00F003E6"/>
    <w:rsid w:val="00F01071"/>
    <w:rsid w:val="00F06D29"/>
    <w:rsid w:val="00F07835"/>
    <w:rsid w:val="00F14CA0"/>
    <w:rsid w:val="00F35956"/>
    <w:rsid w:val="00F36967"/>
    <w:rsid w:val="00F72087"/>
    <w:rsid w:val="00F915B5"/>
    <w:rsid w:val="00F94396"/>
    <w:rsid w:val="00F97EE2"/>
    <w:rsid w:val="00FA417A"/>
    <w:rsid w:val="00FC3652"/>
    <w:rsid w:val="00FC7808"/>
    <w:rsid w:val="00FD1647"/>
    <w:rsid w:val="00FD43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03B60"/>
  <w15:docId w15:val="{DC8492D7-9370-4E39-81C2-1FEC69EF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B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6E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160f01-a567-4f46-942b-7d3f6a6c00f3">
      <Terms xmlns="http://schemas.microsoft.com/office/infopath/2007/PartnerControls"/>
    </lcf76f155ced4ddcb4097134ff3c332f>
    <TaxCatchAll xmlns="23521d2a-53f1-46fb-a4e2-3f219253c8e2" xsi:nil="true"/>
    <_Flow_SignoffStatus xmlns="2f160f01-a567-4f46-942b-7d3f6a6c00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DBE02FC6320409C9DC91C30D30F4B" ma:contentTypeVersion="19" ma:contentTypeDescription="Create a new document." ma:contentTypeScope="" ma:versionID="fdd6e5badb0f10f097d857f4e64f54b8">
  <xsd:schema xmlns:xsd="http://www.w3.org/2001/XMLSchema" xmlns:xs="http://www.w3.org/2001/XMLSchema" xmlns:p="http://schemas.microsoft.com/office/2006/metadata/properties" xmlns:ns2="2f160f01-a567-4f46-942b-7d3f6a6c00f3" xmlns:ns3="23521d2a-53f1-46fb-a4e2-3f219253c8e2" targetNamespace="http://schemas.microsoft.com/office/2006/metadata/properties" ma:root="true" ma:fieldsID="ba4038e4281c2ae9193b77889f106266" ns2:_="" ns3:_="">
    <xsd:import namespace="2f160f01-a567-4f46-942b-7d3f6a6c00f3"/>
    <xsd:import namespace="23521d2a-53f1-46fb-a4e2-3f219253c8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60f01-a567-4f46-942b-7d3f6a6c00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3218cb-c4ee-409e-94b6-e0d93e2fb78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21d2a-53f1-46fb-a4e2-3f219253c8e2"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232eb204-a903-445d-9a14-f053d7023f1b}" ma:internalName="TaxCatchAll" ma:showField="CatchAllData" ma:web="23521d2a-53f1-46fb-a4e2-3f219253c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CAD1F-9C4F-475D-8078-E4CDB5BDBD20}">
  <ds:schemaRefs>
    <ds:schemaRef ds:uri="http://schemas.microsoft.com/office/2006/metadata/properties"/>
    <ds:schemaRef ds:uri="http://schemas.microsoft.com/office/infopath/2007/PartnerControls"/>
    <ds:schemaRef ds:uri="2f160f01-a567-4f46-942b-7d3f6a6c00f3"/>
    <ds:schemaRef ds:uri="23521d2a-53f1-46fb-a4e2-3f219253c8e2"/>
  </ds:schemaRefs>
</ds:datastoreItem>
</file>

<file path=customXml/itemProps2.xml><?xml version="1.0" encoding="utf-8"?>
<ds:datastoreItem xmlns:ds="http://schemas.openxmlformats.org/officeDocument/2006/customXml" ds:itemID="{E387EBA2-7454-408E-9C3F-7287754D49BA}">
  <ds:schemaRefs>
    <ds:schemaRef ds:uri="http://schemas.microsoft.com/sharepoint/v3/contenttype/forms"/>
  </ds:schemaRefs>
</ds:datastoreItem>
</file>

<file path=customXml/itemProps3.xml><?xml version="1.0" encoding="utf-8"?>
<ds:datastoreItem xmlns:ds="http://schemas.openxmlformats.org/officeDocument/2006/customXml" ds:itemID="{CCAB0322-7C30-4D26-9411-04DDDA7B1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60f01-a567-4f46-942b-7d3f6a6c00f3"/>
    <ds:schemaRef ds:uri="23521d2a-53f1-46fb-a4e2-3f219253c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395</Words>
  <Characters>2258</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Title of presentation (Times New Roman 16 points)</vt:lpstr>
      <vt:lpstr>Title of presentation (Times New Roman 16 points)</vt:lpstr>
    </vt:vector>
  </TitlesOfParts>
  <Company>Hewlett-Packard Company</Company>
  <LinksUpToDate>false</LinksUpToDate>
  <CharactersWithSpaces>2648</CharactersWithSpaces>
  <SharedDoc>false</SharedDoc>
  <HLinks>
    <vt:vector size="6" baseType="variant">
      <vt:variant>
        <vt:i4>524299</vt:i4>
      </vt:variant>
      <vt:variant>
        <vt:i4>0</vt:i4>
      </vt:variant>
      <vt:variant>
        <vt:i4>0</vt:i4>
      </vt:variant>
      <vt:variant>
        <vt:i4>5</vt:i4>
      </vt:variant>
      <vt:variant>
        <vt:lpwstr>http://www.asmcs.se/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presentation (Times New Roman 16 points)</dc:title>
  <dc:creator>Ulrika</dc:creator>
  <cp:lastModifiedBy>Jakob Silberberg</cp:lastModifiedBy>
  <cp:revision>4</cp:revision>
  <dcterms:created xsi:type="dcterms:W3CDTF">2025-05-26T16:13:00Z</dcterms:created>
  <dcterms:modified xsi:type="dcterms:W3CDTF">2026-03-31T16:13:00Z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0x0101005A5DBE02FC6320409C9DC91C30D30F4B</vt:lpwstr>
  </property>
</Properties>
</file>